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42" w:rsidRPr="004A3042" w:rsidRDefault="004A3042" w:rsidP="004A3042">
      <w:pPr>
        <w:spacing w:after="3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</w:pPr>
      <w:r w:rsidRPr="004A3042"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  <w:t>О мерах по реагированию на события и действия, создающие угрозу совершения актов незаконного вмешательства</w:t>
      </w:r>
    </w:p>
    <w:p w:rsidR="004A3042" w:rsidRPr="004A3042" w:rsidRDefault="004A3042" w:rsidP="004A304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Меры по реагированию на события и действия, создающие угрозу совершения актов незаконного вмешательства (уведомление должностных лиц о бесхозных предметах, подозрительных лицах и т.п.).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Информация об угрозе совершения акта незаконного вмешательства может поступить по телефону, электронным видам связи, письменно, на иных носителях, а также устно.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Во всех случаях, информация об угрозе совершения акта незаконного вмешательства в соответствии с установленным порядком передается в правоохранительные органы.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Телефон является основным каналом поступления сообщений, содержащих информацию об угрозе совершения акта незаконного вмешательства.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Несмотря на то, что подобная информация в большинстве случаев в последующем не подтверждается, нельзя оставлять ее без внимания, в силу чего необходимо своевременно передать полученную информацию в полицию, а также принять меры по обеспечению безопасности граждан, пассажиров, работников объекта (территорий) и иных лиц, находящихся на нем.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При получении по телефону угрозы совершения акта незаконного вмешательства необходимо: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запомнить, по возможности, пол звонившего и особенности его речи: голос – громкий (тихий), высокий (низкий); темп речи — быстрый (медленный); произношение — отчетливое, искаженное, с заиканием, шепелявое, с акцентом или диалектом; манера речи (развязная и т.д.), а также иные сведения, позволяющие установить личность передавшего сообщение;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постараться отметить при разговоре звуковой фон (шум автомашин или железнодорожного транспорта, звук теле-радиоаппаратуры, посторонние голоса и т.п.);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отметить характер звонка — городской, междугородный;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зафиксировать точное время начала разговора и его продолжительность;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постараться в ходе разговора получить максимально необходимую информацию (куда, кому, по какому телефону звонит этот человек, какие конкретные требования выдвигает, выдвигает требования лично, выступает в роли посредника или представляет какую-то группу лиц, как и когда с ним можно связаться, кому вы можете или должны сообщить об этом звонке);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заставить звонящего затратить как можно больше времени на доведение его требований до должностных лиц, принимающих решения;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lastRenderedPageBreak/>
        <w:t>в процессе разговора сообщить о звонке руководству, а если этого не удалось сделать, то сообщить немедленно по его окончании;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если позвонивший не называет точное место совершения акта незаконного вмешательства, его описание и время взрыва, следует самому спросить его об этом;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 сообщать посторонним лицам сведения о факте разговора и о его содержании;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записать, при наличии телефона с автоматическим определением номера, определившийся номер звонящего;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использовании звукозаписывающей аппаратуры сразу после разговора извлечь кассету (</w:t>
      </w:r>
      <w:proofErr w:type="spellStart"/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флеш</w:t>
      </w:r>
      <w:proofErr w:type="spellEnd"/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-карту, диск) с записью разговора и принять меры к ее (его) сохранности. Обязательно установить на ее (его) место другую кассету (диск);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быть спокойным и вежливым во время разговора, не перебивать говорящего;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 класть по окончании разговора телефонную трубку на рычаги отбоя в телефоне для определения номера звонившего абонента.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Поступление угрозы в письменной форме.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(записки, надписи, информации, полученной по электронным видам связи, и др.).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При получении указанных материалов необходимо: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обращаться с ними максимально осторожно, положить их в чистый плотно закрываемый полиэтиленовый пакет и поместить в отдельную жесткую папку;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 оставлять на конверте отпечатки своих пальцев;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вскрывать конверт только путем отрезания кромки конверта с левой или правой стороны;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сохранять все материалы: сам документ с текстом, любые вложения, конверт и упаковку;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 расширять круг лиц, знакомившихся с содержанием документа.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Анонимные материалы передаются руководству для последующего направления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Анонимные материалы не должны сшиваться или склеиваться, на них не разрешается делать подписи, подчеркивать или обводить отдельные места в тексте, писать резолюции и указания. Также запрещается их мять и сгибать.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lastRenderedPageBreak/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Поступление угрозы устно.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прямом обращении по возможности необходимо получить установочные данные заявителя (фамилию, имя, отчество, адрес места жительства, контактные телефоны), обратить внимание и запомнить его внешние признаки (возраст, рост, телосложение, черты лица, одежду, особые приметы, характеризующиеся физическими недостатками (наличие на теле родинок, татуировок, шрамов, дефекты разговорной речи и т.д.).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Действия граждан при обнаружении подозрительных бесхозных предметов с признаками взрывных устройств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поступлении информации о подозрительных предметах с признаками взрывных устройств, насколько бы абсурдными не выглядели эти сообщения, необходимо: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незамедлительно оповестить руководство объекта (территорий), подразделения охраны и/или правоохранительные органы, а при наличии — подразделение по ликвидации чрезвычайных ситуаций;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осмотреть рабочие помещения до прибытия сотрудников полиции, специальных служб.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Если при визуальном изучении обнаружен подозрительный предмет: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обозначить хорошо видимым знаком место обнаружения подозрительного предмета;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обеспечить полную неприкосновенность обнаруженного подозрительного предмета с соблюдением мер предосторожности;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помнить о том, что категорически запрещается производить с подозрительным предметом какие-либо манипуляции (передвигать, поднимать, открывать и т.д.), пользоваться вблизи него электро- и радиоаппаратурой, переговорными устройствами, радиостанциями и мобильными телефонами в связи с возможностью его дистанционного подрыва;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опросить находящихся поблизости людей с целью установления возможной принадлежности обнаруженного предмета конкретному лицу;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возникновении подозрений о том, что обнаруженный предмет может представлять опасность, принять меры по удалению из опасной зоны находящихся поблизости людей (если граждане находятся в каком-то закрытом помещении, полностью их эвакуировать);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наблюдении за подозрительным предметом находится за укрытиями, обеспечивающими защиту (угол здания, колонна, толстое дерево, автомашина и т.д.);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lastRenderedPageBreak/>
        <w:t>помнить о том, что обезвреживание взрывоопасных предметов производится только специалистами подразделений МВД России, ФСБ России, Минобороны России или МЧС России;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передать всю известную информацию об обнаруженном подозрительном предмете сотрудникам правоохранительных органов и специальных служб по их прибытию на место.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Действия граждан при обнаружении подозрительных лиц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В случае обнаружения подозрительных лиц на объектах (территорий) необходимо: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незамедлительно сообщить о них руководству объекта, работникам подразделения охраны, сотрудникам (дежурную часть) полиции, указав их приметы и точное место нахождения (направление движения);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при наличии возможности, не привлекая внимания,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не принимать самостоятельных попыток к задержанию подозрительных лиц;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i/>
          <w:iCs/>
          <w:color w:val="F0506E"/>
          <w:sz w:val="24"/>
          <w:szCs w:val="24"/>
          <w:lang w:eastAsia="ru-RU"/>
        </w:rPr>
        <w:t>по прибытию сотрудников полиции или работников охраны объекта, не привлекая к себе внимания, указать на подозрительных лиц.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Аппарат АТК МР «Табасаранский район» РД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4A3042" w:rsidRPr="004A3042" w:rsidRDefault="004A3042" w:rsidP="004A3042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</w:pPr>
      <w:r w:rsidRPr="004A3042">
        <w:rPr>
          <w:rFonts w:ascii="Roboto" w:eastAsia="Times New Roman" w:hAnsi="Roboto" w:cs="Times New Roman"/>
          <w:color w:val="1A1A1A"/>
          <w:sz w:val="24"/>
          <w:szCs w:val="24"/>
          <w:lang w:eastAsia="ru-RU"/>
        </w:rPr>
        <w:t> </w:t>
      </w:r>
    </w:p>
    <w:p w:rsidR="00524CDD" w:rsidRDefault="00524CDD">
      <w:bookmarkStart w:id="0" w:name="_GoBack"/>
      <w:bookmarkEnd w:id="0"/>
    </w:p>
    <w:sectPr w:rsidR="0052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5"/>
    <w:rsid w:val="004A3042"/>
    <w:rsid w:val="00524CDD"/>
    <w:rsid w:val="007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337D-2143-4D2F-83CA-0E5328B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042"/>
    <w:rPr>
      <w:b/>
      <w:bCs/>
    </w:rPr>
  </w:style>
  <w:style w:type="character" w:styleId="a5">
    <w:name w:val="Emphasis"/>
    <w:basedOn w:val="a0"/>
    <w:uiPriority w:val="20"/>
    <w:qFormat/>
    <w:rsid w:val="004A3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2024-05-02T10:30:00Z</dcterms:created>
  <dcterms:modified xsi:type="dcterms:W3CDTF">2024-05-02T10:30:00Z</dcterms:modified>
</cp:coreProperties>
</file>