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DA" w:rsidRPr="00AD7CDA" w:rsidRDefault="00AD7CDA" w:rsidP="00AD7CDA">
      <w:pPr>
        <w:pStyle w:val="a3"/>
        <w:rPr>
          <w:color w:val="000000"/>
          <w:sz w:val="32"/>
          <w:szCs w:val="32"/>
        </w:rPr>
      </w:pPr>
      <w:r w:rsidRPr="00AD7CDA">
        <w:rPr>
          <w:color w:val="000000"/>
          <w:sz w:val="32"/>
          <w:szCs w:val="32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Методические рекомендации для применения в ходе декларационной кампании 2022 года (за отчетный 2021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пункте 13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Ошибочное (неточное) указание сведений вследствие ошибок и неточностей, допущенных органом публичной власти или организацией в выданных официальных документах (выписках), на основании которых представляются сведения, не влечет применение взыскания. В этой связи в Методических рекомендациях отмечена целесообразность представления сведений на основании официальных документов, например, 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и </w:t>
      </w:r>
      <w:proofErr w:type="spellStart"/>
      <w:r>
        <w:rPr>
          <w:color w:val="000000"/>
          <w:sz w:val="27"/>
          <w:szCs w:val="27"/>
        </w:rPr>
        <w:t>некредитными</w:t>
      </w:r>
      <w:proofErr w:type="spellEnd"/>
      <w:r>
        <w:rPr>
          <w:color w:val="000000"/>
          <w:sz w:val="27"/>
          <w:szCs w:val="27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Указан порядок отражения социальной поддержки молодежи в возрасте от 14 до 22 лет для повышения доступности организаций культуры (т.н. "Пушкинская карта").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В Методических рекомендациях учтены изменения, предусмотренные Указом Президента Российской Федерации от 10 декабря 2020 г. № 778 "О мерах по реализации отдельных положений Федерального закона "О цифровых </w:t>
      </w:r>
      <w:bookmarkStart w:id="0" w:name="_GoBack"/>
      <w:bookmarkEnd w:id="0"/>
      <w:r>
        <w:rPr>
          <w:color w:val="000000"/>
          <w:sz w:val="27"/>
          <w:szCs w:val="27"/>
        </w:rPr>
        <w:t>финансовых активах, цифровой валюте и о внесении изменений в отдельные законодательные акты Российской Федерации".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>
        <w:rPr>
          <w:color w:val="000000"/>
          <w:sz w:val="27"/>
          <w:szCs w:val="27"/>
        </w:rPr>
        <w:t>эскроу</w:t>
      </w:r>
      <w:proofErr w:type="spellEnd"/>
      <w:r>
        <w:rPr>
          <w:color w:val="000000"/>
          <w:sz w:val="27"/>
          <w:szCs w:val="27"/>
        </w:rPr>
        <w:t>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пункте 154 Методических рекомендаций обозначено, что 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Определенны особенности представления информации об акциях, приобретенных на организованных торгах.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Отмечено, что при наличии обстоятельств фьючерсный договор подлежит отражению.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AD7CDA" w:rsidRDefault="00AD7CDA" w:rsidP="00AD7CD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Положения Методических рекомендаций в целом актуализированы с учетом изменений нормативных правовых актов </w:t>
      </w:r>
      <w:proofErr w:type="spellStart"/>
      <w:r>
        <w:rPr>
          <w:color w:val="000000"/>
          <w:sz w:val="27"/>
          <w:szCs w:val="27"/>
        </w:rPr>
        <w:t>Российск</w:t>
      </w:r>
      <w:proofErr w:type="spellEnd"/>
    </w:p>
    <w:p w:rsidR="00436E7F" w:rsidRDefault="00436E7F"/>
    <w:sectPr w:rsidR="00436E7F" w:rsidSect="0051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72"/>
    <w:rsid w:val="00436E7F"/>
    <w:rsid w:val="00511739"/>
    <w:rsid w:val="00655072"/>
    <w:rsid w:val="00AD7CDA"/>
    <w:rsid w:val="00F4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 Windows</cp:lastModifiedBy>
  <cp:revision>2</cp:revision>
  <dcterms:created xsi:type="dcterms:W3CDTF">2022-01-13T12:42:00Z</dcterms:created>
  <dcterms:modified xsi:type="dcterms:W3CDTF">2022-01-13T12:42:00Z</dcterms:modified>
</cp:coreProperties>
</file>