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Дербентская  межрайонная природоохранная прокуратура разъясняет.</w:t>
      </w:r>
    </w:p>
    <w:p w14:paraId="02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Часть </w:t>
      </w:r>
      <w:r>
        <w:rPr>
          <w:rFonts w:ascii="Times New Roman" w:hAnsi="Times New Roman"/>
          <w:sz w:val="24"/>
        </w:rPr>
        <w:t>3 ст. 7.2 КоАП РФ</w:t>
      </w:r>
      <w:r>
        <w:rPr>
          <w:rFonts w:ascii="Times New Roman" w:hAnsi="Times New Roman"/>
          <w:sz w:val="24"/>
        </w:rPr>
        <w:t xml:space="preserve"> предусматривает привлечение к административной ответственности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 н</w:t>
      </w:r>
      <w:r>
        <w:rPr>
          <w:rFonts w:ascii="Times New Roman" w:hAnsi="Times New Roman"/>
          <w:sz w:val="24"/>
        </w:rPr>
        <w:t>арушение режима охранной зоны стационарных пунктов наблюдений за состоянием окруж</w:t>
      </w:r>
      <w:r>
        <w:rPr>
          <w:rFonts w:ascii="Times New Roman" w:hAnsi="Times New Roman"/>
          <w:sz w:val="24"/>
        </w:rPr>
        <w:t>ающей среды и ее загрязнением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административн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штраф на граждан в размере от пяти тысяч до десяти тысяч рублей; на должностных лиц - от десяти тысяч до пятидесяти тысяч рублей; на юридических лиц - от пятидесяти тысяч до двухсот тысяч рублей</w:t>
      </w:r>
      <w:r>
        <w:rPr>
          <w:rFonts w:ascii="Times New Roman" w:hAnsi="Times New Roman"/>
          <w:sz w:val="24"/>
        </w:rPr>
        <w:t>).</w:t>
      </w:r>
    </w:p>
    <w:p w14:paraId="03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Так, </w:t>
      </w:r>
      <w:r>
        <w:rPr>
          <w:rFonts w:ascii="Times New Roman" w:hAnsi="Times New Roman"/>
          <w:sz w:val="24"/>
        </w:rPr>
        <w:t xml:space="preserve">в границах охранной зоны запрещается </w:t>
      </w:r>
      <w:r>
        <w:rPr>
          <w:rFonts w:ascii="Times New Roman" w:hAnsi="Times New Roman"/>
          <w:sz w:val="24"/>
        </w:rPr>
        <w:t xml:space="preserve">организация стоянки автомобильного и (или) водного транспорта, других механизмов, </w:t>
      </w:r>
      <w:r>
        <w:rPr>
          <w:rFonts w:ascii="Times New Roman" w:hAnsi="Times New Roman"/>
          <w:sz w:val="24"/>
        </w:rPr>
        <w:t>сооружение причалов и пристаней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пп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г</w:t>
      </w:r>
      <w:r>
        <w:rPr>
          <w:rFonts w:ascii="Times New Roman" w:hAnsi="Times New Roman"/>
          <w:sz w:val="24"/>
        </w:rPr>
        <w:t xml:space="preserve"> п. 16 </w:t>
      </w:r>
      <w:r>
        <w:rPr>
          <w:rFonts w:ascii="Times New Roman" w:hAnsi="Times New Roman"/>
          <w:sz w:val="24"/>
        </w:rPr>
        <w:t>Положения об охранной зоне стационарных пунктов наблюдений за состоянием окружающей среды, ее загрязнением, утвержденного постановлением Правительства Российской Федерации от 17.03.2021 № 392</w:t>
      </w:r>
      <w:r>
        <w:rPr>
          <w:rFonts w:ascii="Times New Roman" w:hAnsi="Times New Roman"/>
          <w:sz w:val="24"/>
        </w:rPr>
        <w:t xml:space="preserve">). </w:t>
      </w:r>
      <w:bookmarkStart w:id="1" w:name="_GoBack"/>
      <w:bookmarkEnd w:id="1"/>
    </w:p>
    <w:p w14:paraId="04000000">
      <w:pPr>
        <w:spacing w:line="240" w:lineRule="auto"/>
        <w:ind w:firstLine="709" w:left="0"/>
        <w:jc w:val="both"/>
        <w:rPr>
          <w:rFonts w:ascii="Times New Roman" w:hAnsi="Times New Roman"/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2026-10-05T08:16:09Z</dcterms:modified>
</cp:coreProperties>
</file>