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Дербентская  межрайонная природоохранная прокуратура разъясняет.</w:t>
      </w:r>
    </w:p>
    <w:p w14:paraId="0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Часть </w:t>
      </w:r>
      <w:r>
        <w:rPr>
          <w:rFonts w:ascii="Times New Roman" w:hAnsi="Times New Roman"/>
          <w:sz w:val="28"/>
        </w:rPr>
        <w:t xml:space="preserve">3 ст. 7.2 КоАП РФ </w:t>
      </w:r>
      <w:r>
        <w:rPr>
          <w:rFonts w:ascii="Times New Roman" w:hAnsi="Times New Roman"/>
          <w:sz w:val="28"/>
        </w:rPr>
        <w:t>предусматривает привлечение к административной ответственности за н</w:t>
      </w:r>
      <w:r>
        <w:rPr>
          <w:rFonts w:ascii="Times New Roman" w:hAnsi="Times New Roman"/>
          <w:sz w:val="28"/>
        </w:rPr>
        <w:t>арушение режима охранной зоны стационарных пунктов наблюдений за состоянием окружающей среды и ее загрязнением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административн</w:t>
      </w:r>
      <w:r>
        <w:rPr>
          <w:rFonts w:ascii="Times New Roman" w:hAnsi="Times New Roman"/>
          <w:sz w:val="28"/>
        </w:rPr>
        <w:t>ый</w:t>
      </w:r>
      <w:r>
        <w:rPr>
          <w:rFonts w:ascii="Times New Roman" w:hAnsi="Times New Roman"/>
          <w:sz w:val="28"/>
        </w:rPr>
        <w:t xml:space="preserve"> штраф на граждан в размере от пяти тысяч до десяти тысяч рублей; на должностных лиц - от десяти тысяч до пятидесяти тысяч рублей; на юридических лиц - от пятидесяти тысяч до двухсот тысяч рублей</w:t>
      </w:r>
      <w:r>
        <w:rPr>
          <w:rFonts w:ascii="Times New Roman" w:hAnsi="Times New Roman"/>
          <w:sz w:val="28"/>
        </w:rPr>
        <w:t>).</w:t>
      </w:r>
    </w:p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Так, </w:t>
      </w:r>
      <w:r>
        <w:rPr>
          <w:rFonts w:ascii="Times New Roman" w:hAnsi="Times New Roman"/>
          <w:sz w:val="28"/>
        </w:rPr>
        <w:t>в границах охранной зоны запрещается размещение источников электромагнитного и (или) иного излучения, создающего помехи для получения достоверной информации о состоянии окружающей среды, ее загрязнении, а также стационарные и передвижные источники загрязнения атмосферного воздуха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пп</w:t>
      </w:r>
      <w:r>
        <w:rPr>
          <w:rFonts w:ascii="Times New Roman" w:hAnsi="Times New Roman"/>
          <w:sz w:val="28"/>
        </w:rPr>
        <w:t>. д п. 16 Положения</w:t>
      </w:r>
      <w:r>
        <w:rPr>
          <w:rFonts w:ascii="Times New Roman" w:hAnsi="Times New Roman"/>
          <w:sz w:val="28"/>
        </w:rPr>
        <w:t xml:space="preserve"> об охранной зоне стационарных пунктов наблюдений за состоянием окружающей среды, ее загрязнением, утвержденного постановлением Правительства Российской Федерации от 17.03.2021 № 392</w:t>
      </w:r>
      <w:r>
        <w:rPr>
          <w:rFonts w:ascii="Times New Roman" w:hAnsi="Times New Roman"/>
          <w:sz w:val="28"/>
        </w:rPr>
        <w:t xml:space="preserve">). </w:t>
      </w:r>
    </w:p>
    <w:p w14:paraId="04000000">
      <w:pPr>
        <w:spacing w:line="240" w:lineRule="auto"/>
        <w:ind w:firstLine="709" w:left="0"/>
        <w:jc w:val="both"/>
        <w:rPr>
          <w:rFonts w:ascii="Times New Roman" w:hAnsi="Times New Roman"/>
          <w:sz w:val="24"/>
        </w:rPr>
      </w:pPr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2026-10-05T08:16:20Z</dcterms:modified>
</cp:coreProperties>
</file>